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2D4B83">
        <w:rPr>
          <w:rFonts w:ascii="Arial" w:hAnsi="Arial" w:cs="Arial"/>
          <w:color w:val="4BACC6" w:themeColor="accent5"/>
          <w:sz w:val="24"/>
          <w:szCs w:val="24"/>
        </w:rPr>
        <w:t>veintic</w:t>
      </w:r>
      <w:r w:rsidR="00840179">
        <w:rPr>
          <w:rFonts w:ascii="Arial" w:hAnsi="Arial" w:cs="Arial"/>
          <w:color w:val="4BACC6" w:themeColor="accent5"/>
          <w:sz w:val="24"/>
          <w:szCs w:val="24"/>
        </w:rPr>
        <w:t>inco</w:t>
      </w:r>
      <w:r w:rsidR="00E83510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392D8F">
        <w:rPr>
          <w:rFonts w:ascii="Arial" w:hAnsi="Arial" w:cs="Arial"/>
          <w:color w:val="4BACC6" w:themeColor="accent5"/>
          <w:sz w:val="24"/>
          <w:szCs w:val="24"/>
        </w:rPr>
        <w:t>ma</w:t>
      </w:r>
      <w:r w:rsidR="002D4B83">
        <w:rPr>
          <w:rFonts w:ascii="Arial" w:hAnsi="Arial" w:cs="Arial"/>
          <w:color w:val="4BACC6" w:themeColor="accent5"/>
          <w:sz w:val="24"/>
          <w:szCs w:val="24"/>
        </w:rPr>
        <w:t>yo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 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1C3373" w:rsidRPr="00D7336A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791265" w:rsidRDefault="0038176B" w:rsidP="00791265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2D4B83" w:rsidRDefault="002D4B83" w:rsidP="002D4B83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2D371A" w:rsidRDefault="001A14C5" w:rsidP="00791265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490BC0" w:rsidRDefault="00490BC0" w:rsidP="00490BC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8C6657" w:rsidRPr="00E01C91" w:rsidRDefault="008C6657" w:rsidP="008C6657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E01C91">
        <w:rPr>
          <w:rFonts w:cs="Arial"/>
          <w:i/>
          <w:color w:val="4BACC6" w:themeColor="accent5"/>
          <w:sz w:val="20"/>
        </w:rPr>
        <w:t>“…</w:t>
      </w:r>
      <w:r w:rsidR="002D4B83">
        <w:rPr>
          <w:rFonts w:cs="Arial"/>
          <w:i/>
          <w:color w:val="4BACC6" w:themeColor="accent5"/>
          <w:sz w:val="20"/>
        </w:rPr>
        <w:t>7</w:t>
      </w:r>
      <w:r w:rsidRPr="00E01C91">
        <w:rPr>
          <w:rFonts w:cs="Arial"/>
          <w:i/>
          <w:color w:val="4BACC6" w:themeColor="accent5"/>
          <w:sz w:val="20"/>
        </w:rPr>
        <w:t>.</w:t>
      </w:r>
      <w:r w:rsidR="002D4B83">
        <w:rPr>
          <w:rFonts w:cs="Arial"/>
          <w:i/>
          <w:color w:val="4BACC6" w:themeColor="accent5"/>
          <w:sz w:val="20"/>
        </w:rPr>
        <w:t>5</w:t>
      </w:r>
      <w:r w:rsidRPr="00E01C91">
        <w:rPr>
          <w:rFonts w:cs="Arial"/>
          <w:i/>
          <w:color w:val="4BACC6" w:themeColor="accent5"/>
          <w:sz w:val="20"/>
        </w:rPr>
        <w:t xml:space="preserve">. </w:t>
      </w:r>
      <w:r w:rsidR="002D4B83">
        <w:rPr>
          <w:rFonts w:cs="Arial"/>
          <w:i/>
          <w:color w:val="4BACC6" w:themeColor="accent5"/>
          <w:sz w:val="20"/>
        </w:rPr>
        <w:t>Sentido y e</w:t>
      </w:r>
      <w:r w:rsidRPr="00E01C91">
        <w:rPr>
          <w:rFonts w:cs="Arial"/>
          <w:i/>
          <w:color w:val="4BACC6" w:themeColor="accent5"/>
          <w:sz w:val="20"/>
        </w:rPr>
        <w:t xml:space="preserve">fectos de </w:t>
      </w:r>
      <w:r w:rsidR="002D4B83">
        <w:rPr>
          <w:rFonts w:cs="Arial"/>
          <w:i/>
          <w:color w:val="4BACC6" w:themeColor="accent5"/>
          <w:sz w:val="20"/>
        </w:rPr>
        <w:t>la</w:t>
      </w:r>
      <w:r w:rsidRPr="00E01C91">
        <w:rPr>
          <w:rFonts w:cs="Arial"/>
          <w:i/>
          <w:color w:val="4BACC6" w:themeColor="accent5"/>
          <w:sz w:val="20"/>
        </w:rPr>
        <w:t xml:space="preserve"> resolución.</w:t>
      </w:r>
    </w:p>
    <w:p w:rsidR="008C6657" w:rsidRPr="00E01C91" w:rsidRDefault="008C6657" w:rsidP="008C6657">
      <w:pPr>
        <w:pStyle w:val="corte4fondo"/>
        <w:tabs>
          <w:tab w:val="left" w:pos="567"/>
        </w:tabs>
        <w:spacing w:line="240" w:lineRule="auto"/>
        <w:rPr>
          <w:rFonts w:cs="Arial"/>
          <w:b/>
          <w:i/>
          <w:color w:val="4BACC6" w:themeColor="accent5"/>
          <w:sz w:val="20"/>
        </w:rPr>
      </w:pPr>
    </w:p>
    <w:p w:rsidR="002D4B83" w:rsidRDefault="008C6657" w:rsidP="008C6657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E01C91">
        <w:rPr>
          <w:rFonts w:cs="Arial"/>
          <w:i/>
          <w:color w:val="4BACC6" w:themeColor="accent5"/>
          <w:sz w:val="20"/>
        </w:rPr>
        <w:t xml:space="preserve"> </w:t>
      </w:r>
      <w:r w:rsidR="002D4B83">
        <w:rPr>
          <w:rFonts w:cs="Arial"/>
          <w:i/>
          <w:color w:val="4BACC6" w:themeColor="accent5"/>
          <w:sz w:val="20"/>
        </w:rPr>
        <w:t xml:space="preserve">En las condiciones anotadas y, al haber resultado fundado el agravio que hizo valer el recurrente, lo procedente es que esta Comisión Estatal de Garantía de Acceso a la Información Pública de conformidad con el artículo 164 de la Ley de Transparencia y Acceso a la Información Pública del Estado </w:t>
      </w:r>
      <w:r w:rsidR="002D4B83" w:rsidRPr="00E01C91">
        <w:rPr>
          <w:rFonts w:cs="Arial"/>
          <w:b/>
          <w:i/>
          <w:color w:val="4BACC6" w:themeColor="accent5"/>
          <w:sz w:val="20"/>
        </w:rPr>
        <w:t>aplica el principio de afirmativa ficta</w:t>
      </w:r>
      <w:r w:rsidR="00FA0C55" w:rsidRPr="00E01C91">
        <w:rPr>
          <w:rFonts w:cs="Arial"/>
          <w:i/>
          <w:color w:val="4BACC6" w:themeColor="accent5"/>
          <w:sz w:val="20"/>
        </w:rPr>
        <w:t xml:space="preserve"> y </w:t>
      </w:r>
      <w:r w:rsidR="002D4B83">
        <w:rPr>
          <w:rFonts w:cs="Arial"/>
          <w:i/>
          <w:color w:val="4BACC6" w:themeColor="accent5"/>
          <w:sz w:val="20"/>
        </w:rPr>
        <w:t xml:space="preserve">por lo tanto </w:t>
      </w:r>
      <w:r w:rsidRPr="00E01C91">
        <w:rPr>
          <w:rFonts w:cs="Arial"/>
          <w:i/>
          <w:color w:val="4BACC6" w:themeColor="accent5"/>
          <w:sz w:val="20"/>
        </w:rPr>
        <w:t xml:space="preserve">conmina </w:t>
      </w:r>
      <w:r w:rsidR="00FA0C55" w:rsidRPr="00E01C91">
        <w:rPr>
          <w:rFonts w:cs="Arial"/>
          <w:i/>
          <w:color w:val="4BACC6" w:themeColor="accent5"/>
          <w:sz w:val="20"/>
        </w:rPr>
        <w:t>a</w:t>
      </w:r>
      <w:r w:rsidR="002D4B83">
        <w:rPr>
          <w:rFonts w:cs="Arial"/>
          <w:i/>
          <w:color w:val="4BACC6" w:themeColor="accent5"/>
          <w:sz w:val="20"/>
        </w:rPr>
        <w:t xml:space="preserve"> </w:t>
      </w:r>
      <w:r w:rsidR="00FA0C55" w:rsidRPr="00E01C91">
        <w:rPr>
          <w:rFonts w:cs="Arial"/>
          <w:i/>
          <w:color w:val="4BACC6" w:themeColor="accent5"/>
          <w:sz w:val="20"/>
        </w:rPr>
        <w:t>l</w:t>
      </w:r>
      <w:r w:rsidR="002D4B83">
        <w:rPr>
          <w:rFonts w:cs="Arial"/>
          <w:i/>
          <w:color w:val="4BACC6" w:themeColor="accent5"/>
          <w:sz w:val="20"/>
        </w:rPr>
        <w:t xml:space="preserve">os entes obligados para que entreguen al solicitante la información </w:t>
      </w:r>
      <w:r w:rsidR="002D4B83" w:rsidRPr="002D4B83">
        <w:rPr>
          <w:rFonts w:cs="Arial"/>
          <w:b/>
          <w:i/>
          <w:color w:val="4BACC6" w:themeColor="accent5"/>
          <w:sz w:val="20"/>
        </w:rPr>
        <w:t>de</w:t>
      </w:r>
      <w:r w:rsidR="002D4B83">
        <w:rPr>
          <w:rFonts w:cs="Arial"/>
          <w:i/>
          <w:color w:val="4BACC6" w:themeColor="accent5"/>
          <w:sz w:val="20"/>
        </w:rPr>
        <w:t xml:space="preserve"> </w:t>
      </w:r>
      <w:r w:rsidR="002D4B83" w:rsidRPr="002D4B83">
        <w:rPr>
          <w:rFonts w:cs="Arial"/>
          <w:b/>
          <w:i/>
          <w:color w:val="4BACC6" w:themeColor="accent5"/>
          <w:sz w:val="20"/>
        </w:rPr>
        <w:t>manera gratuita</w:t>
      </w:r>
      <w:r w:rsidR="002D4B83">
        <w:rPr>
          <w:rFonts w:cs="Arial"/>
          <w:i/>
          <w:color w:val="4BACC6" w:themeColor="accent5"/>
          <w:sz w:val="20"/>
        </w:rPr>
        <w:t xml:space="preserve"> sobre:</w:t>
      </w:r>
    </w:p>
    <w:p w:rsidR="008C6657" w:rsidRPr="00E01C91" w:rsidRDefault="002D4B83" w:rsidP="008C6657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E01C91">
        <w:rPr>
          <w:rFonts w:cs="Arial"/>
          <w:i/>
          <w:color w:val="4BACC6" w:themeColor="accent5"/>
          <w:sz w:val="20"/>
        </w:rPr>
        <w:t xml:space="preserve"> </w:t>
      </w:r>
    </w:p>
    <w:p w:rsidR="002D4B83" w:rsidRPr="002D4B83" w:rsidRDefault="002D4B83" w:rsidP="008C6657">
      <w:pPr>
        <w:pStyle w:val="corte4fondo"/>
        <w:tabs>
          <w:tab w:val="left" w:pos="567"/>
        </w:tabs>
        <w:spacing w:line="240" w:lineRule="auto"/>
        <w:rPr>
          <w:rFonts w:cs="Arial"/>
          <w:b/>
          <w:i/>
          <w:color w:val="4BACC6" w:themeColor="accent5"/>
          <w:sz w:val="20"/>
        </w:rPr>
      </w:pPr>
      <w:r w:rsidRPr="002D4B83">
        <w:rPr>
          <w:rFonts w:cs="Arial"/>
          <w:b/>
          <w:i/>
          <w:color w:val="4BACC6" w:themeColor="accent5"/>
          <w:sz w:val="20"/>
        </w:rPr>
        <w:t>En formato electrónico:</w:t>
      </w:r>
    </w:p>
    <w:p w:rsidR="002D4B83" w:rsidRDefault="002D4B83" w:rsidP="008C6657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5A774A" w:rsidRPr="00E01C91" w:rsidRDefault="002D4B83" w:rsidP="002D4B83">
      <w:pPr>
        <w:pStyle w:val="corte4fondo"/>
        <w:numPr>
          <w:ilvl w:val="0"/>
          <w:numId w:val="19"/>
        </w:numPr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 xml:space="preserve">Solicito sus estatutos y su padrón de afiliados en formato </w:t>
      </w:r>
      <w:proofErr w:type="spellStart"/>
      <w:r>
        <w:rPr>
          <w:rFonts w:cs="Arial"/>
          <w:i/>
          <w:color w:val="4BACC6" w:themeColor="accent5"/>
          <w:sz w:val="20"/>
        </w:rPr>
        <w:t>pdf</w:t>
      </w:r>
      <w:proofErr w:type="spellEnd"/>
      <w:r>
        <w:rPr>
          <w:rFonts w:cs="Arial"/>
          <w:i/>
          <w:color w:val="4BACC6" w:themeColor="accent5"/>
          <w:sz w:val="20"/>
        </w:rPr>
        <w:t xml:space="preserve"> escaneados</w:t>
      </w:r>
      <w:r w:rsidR="00FA0C55" w:rsidRPr="00E01C91">
        <w:rPr>
          <w:rFonts w:cs="Arial"/>
          <w:i/>
          <w:color w:val="4BACC6" w:themeColor="accent5"/>
          <w:sz w:val="20"/>
        </w:rPr>
        <w:t>.</w:t>
      </w:r>
      <w:r w:rsidR="008C6657" w:rsidRPr="00E01C91">
        <w:rPr>
          <w:rFonts w:cs="Arial"/>
          <w:i/>
          <w:color w:val="4BACC6" w:themeColor="accent5"/>
          <w:sz w:val="20"/>
        </w:rPr>
        <w:t>”</w:t>
      </w:r>
      <w:r w:rsidR="00FA0C55" w:rsidRPr="00E01C91">
        <w:rPr>
          <w:rFonts w:cs="Arial"/>
          <w:i/>
          <w:color w:val="4BACC6" w:themeColor="accent5"/>
          <w:sz w:val="20"/>
        </w:rPr>
        <w:t xml:space="preserve"> </w:t>
      </w:r>
      <w:r w:rsidR="008C6657" w:rsidRPr="00E01C91">
        <w:rPr>
          <w:rFonts w:cs="Arial"/>
          <w:i/>
          <w:color w:val="4BACC6" w:themeColor="accent5"/>
          <w:sz w:val="20"/>
        </w:rPr>
        <w:t>(sic</w:t>
      </w:r>
      <w:r w:rsidR="000718D6" w:rsidRPr="00E01C91">
        <w:rPr>
          <w:rFonts w:cs="Arial"/>
          <w:i/>
          <w:color w:val="4BACC6" w:themeColor="accent5"/>
          <w:sz w:val="20"/>
        </w:rPr>
        <w:t>)</w:t>
      </w:r>
    </w:p>
    <w:p w:rsidR="00D97E05" w:rsidRDefault="00D97E05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D97E05" w:rsidRDefault="00D97E05" w:rsidP="00750BF1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>
        <w:rPr>
          <w:rFonts w:cs="Arial"/>
          <w:color w:val="4BACC6" w:themeColor="accent5"/>
          <w:sz w:val="24"/>
          <w:szCs w:val="24"/>
        </w:rPr>
        <w:t xml:space="preserve">Por otra parte, se le requirió </w:t>
      </w:r>
      <w:r w:rsidR="00750BF1">
        <w:rPr>
          <w:rFonts w:cs="Arial"/>
          <w:color w:val="4BACC6" w:themeColor="accent5"/>
          <w:sz w:val="24"/>
          <w:szCs w:val="24"/>
        </w:rPr>
        <w:t xml:space="preserve">por auto de dos de abril del año en curso </w:t>
      </w:r>
      <w:r>
        <w:rPr>
          <w:rFonts w:cs="Arial"/>
          <w:color w:val="4BACC6" w:themeColor="accent5"/>
          <w:sz w:val="24"/>
          <w:szCs w:val="24"/>
        </w:rPr>
        <w:t>al sujeto obligado</w:t>
      </w:r>
      <w:r w:rsidR="00750BF1">
        <w:rPr>
          <w:rFonts w:cs="Arial"/>
          <w:color w:val="4BACC6" w:themeColor="accent5"/>
          <w:sz w:val="24"/>
          <w:szCs w:val="24"/>
        </w:rPr>
        <w:t>,</w:t>
      </w:r>
      <w:r>
        <w:rPr>
          <w:rFonts w:cs="Arial"/>
          <w:color w:val="4BACC6" w:themeColor="accent5"/>
          <w:sz w:val="24"/>
          <w:szCs w:val="24"/>
        </w:rPr>
        <w:t xml:space="preserve"> a fin de </w:t>
      </w:r>
      <w:r w:rsidR="00750BF1">
        <w:rPr>
          <w:rFonts w:cs="Arial"/>
          <w:color w:val="4BACC6" w:themeColor="accent5"/>
          <w:sz w:val="24"/>
          <w:szCs w:val="24"/>
        </w:rPr>
        <w:t xml:space="preserve">informar sobre el cumplimiento a la resolución emitida, a lo cual dio contestación con el oficio SG/SADTGE/373/2018, mismo que fue recibido por este </w:t>
      </w:r>
      <w:r w:rsidRPr="00A60333">
        <w:rPr>
          <w:rFonts w:cs="Arial"/>
          <w:color w:val="4BACC6" w:themeColor="accent5"/>
          <w:sz w:val="24"/>
          <w:szCs w:val="24"/>
        </w:rPr>
        <w:t xml:space="preserve">órgano colegiado el seis de </w:t>
      </w:r>
      <w:r w:rsidR="00750BF1">
        <w:rPr>
          <w:rFonts w:cs="Arial"/>
          <w:color w:val="4BACC6" w:themeColor="accent5"/>
          <w:sz w:val="24"/>
          <w:szCs w:val="24"/>
        </w:rPr>
        <w:t xml:space="preserve">abril </w:t>
      </w:r>
      <w:r w:rsidRPr="00A60333">
        <w:rPr>
          <w:rFonts w:cs="Arial"/>
          <w:color w:val="4BACC6" w:themeColor="accent5"/>
          <w:sz w:val="24"/>
          <w:szCs w:val="24"/>
        </w:rPr>
        <w:t xml:space="preserve">de </w:t>
      </w:r>
      <w:r w:rsidR="00750BF1">
        <w:rPr>
          <w:rFonts w:cs="Arial"/>
          <w:color w:val="4BACC6" w:themeColor="accent5"/>
          <w:sz w:val="24"/>
          <w:szCs w:val="24"/>
        </w:rPr>
        <w:t>los presentes</w:t>
      </w:r>
      <w:r w:rsidRPr="00A60333">
        <w:rPr>
          <w:rFonts w:cs="Arial"/>
          <w:color w:val="4BACC6" w:themeColor="accent5"/>
          <w:sz w:val="24"/>
          <w:szCs w:val="24"/>
        </w:rPr>
        <w:t>, dando cumplimiento al</w:t>
      </w:r>
      <w:r w:rsidR="00490BC0" w:rsidRPr="00D97E05">
        <w:rPr>
          <w:rFonts w:cs="Arial"/>
          <w:color w:val="4BACC6" w:themeColor="accent5"/>
          <w:sz w:val="24"/>
          <w:szCs w:val="24"/>
        </w:rPr>
        <w:t xml:space="preserve"> resolutivo en análisis y señala medularmente lo siguiente:</w:t>
      </w:r>
    </w:p>
    <w:p w:rsidR="00490BC0" w:rsidRPr="00976F0C" w:rsidRDefault="00490BC0" w:rsidP="00490BC0">
      <w:pPr>
        <w:spacing w:after="0" w:line="24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D97E05" w:rsidRDefault="00490BC0" w:rsidP="00490BC0">
      <w:pPr>
        <w:spacing w:after="0" w:line="240" w:lineRule="auto"/>
        <w:ind w:firstLine="708"/>
        <w:jc w:val="both"/>
        <w:rPr>
          <w:rFonts w:ascii="Arial" w:hAnsi="Arial" w:cs="Arial"/>
          <w:i/>
          <w:color w:val="4BACC6" w:themeColor="accent5"/>
        </w:rPr>
      </w:pPr>
      <w:r w:rsidRPr="00D97E05">
        <w:rPr>
          <w:rFonts w:ascii="Arial" w:hAnsi="Arial" w:cs="Arial"/>
          <w:i/>
          <w:color w:val="4BACC6" w:themeColor="accent5"/>
        </w:rPr>
        <w:t xml:space="preserve"> […] </w:t>
      </w:r>
      <w:r w:rsidR="00750BF1">
        <w:rPr>
          <w:rFonts w:ascii="Arial" w:hAnsi="Arial" w:cs="Arial"/>
          <w:i/>
          <w:color w:val="4BACC6" w:themeColor="accent5"/>
        </w:rPr>
        <w:t>Por lo anterior y con fundamento en los artículos 9°, 11, 12,13, 18, 19, 21, 22, 25, 54, 58, 59, y 83 de la Ley de transparencia y Acceso a la información Pública del Estado de San Luis Potosí, se da cabal cumplimiento a la solicitud de mérito.</w:t>
      </w:r>
      <w:r w:rsidR="00BF633B" w:rsidRPr="00D97E05">
        <w:rPr>
          <w:rFonts w:ascii="Arial" w:hAnsi="Arial" w:cs="Arial"/>
          <w:i/>
          <w:color w:val="4BACC6" w:themeColor="accent5"/>
        </w:rPr>
        <w:t xml:space="preserve"> </w:t>
      </w:r>
      <w:r w:rsidRPr="00D97E05">
        <w:rPr>
          <w:rFonts w:ascii="Arial" w:hAnsi="Arial" w:cs="Arial"/>
          <w:i/>
          <w:color w:val="4BACC6" w:themeColor="accent5"/>
        </w:rPr>
        <w:t xml:space="preserve">[…]  </w:t>
      </w:r>
    </w:p>
    <w:p w:rsidR="00490BC0" w:rsidRPr="00976F0C" w:rsidRDefault="00490BC0" w:rsidP="00490BC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FA0C55" w:rsidRDefault="00BE69A9" w:rsidP="00490BC0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>
        <w:rPr>
          <w:rFonts w:cs="Arial"/>
          <w:color w:val="4BACC6" w:themeColor="accent5"/>
          <w:sz w:val="24"/>
          <w:szCs w:val="24"/>
        </w:rPr>
        <w:t xml:space="preserve"> </w:t>
      </w:r>
      <w:r w:rsidR="00CA0FEB">
        <w:rPr>
          <w:rFonts w:cs="Arial"/>
          <w:color w:val="4BACC6" w:themeColor="accent5"/>
          <w:sz w:val="24"/>
          <w:szCs w:val="24"/>
        </w:rPr>
        <w:t xml:space="preserve"> </w:t>
      </w:r>
      <w:r w:rsidR="00FA0C55">
        <w:rPr>
          <w:rFonts w:cs="Arial"/>
          <w:color w:val="4BACC6" w:themeColor="accent5"/>
          <w:sz w:val="24"/>
          <w:szCs w:val="24"/>
        </w:rPr>
        <w:t xml:space="preserve"> </w:t>
      </w:r>
    </w:p>
    <w:p w:rsidR="00490BC0" w:rsidRPr="00976F0C" w:rsidRDefault="00490BC0" w:rsidP="00490BC0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D97E05">
        <w:rPr>
          <w:rFonts w:cs="Arial"/>
          <w:color w:val="4BACC6" w:themeColor="accent5"/>
          <w:sz w:val="24"/>
          <w:szCs w:val="24"/>
        </w:rPr>
        <w:t xml:space="preserve">En ese sentido, visibles a fojas </w:t>
      </w:r>
      <w:r w:rsidR="00750BF1">
        <w:rPr>
          <w:rFonts w:cs="Arial"/>
          <w:color w:val="4BACC6" w:themeColor="accent5"/>
          <w:sz w:val="24"/>
          <w:szCs w:val="24"/>
        </w:rPr>
        <w:t>52</w:t>
      </w:r>
      <w:r w:rsidR="00B23C59" w:rsidRPr="00D97E05">
        <w:rPr>
          <w:rFonts w:cs="Arial"/>
          <w:color w:val="4BACC6" w:themeColor="accent5"/>
          <w:sz w:val="24"/>
          <w:szCs w:val="24"/>
        </w:rPr>
        <w:t xml:space="preserve"> a </w:t>
      </w:r>
      <w:r w:rsidR="00750BF1">
        <w:rPr>
          <w:rFonts w:cs="Arial"/>
          <w:color w:val="4BACC6" w:themeColor="accent5"/>
          <w:sz w:val="24"/>
          <w:szCs w:val="24"/>
        </w:rPr>
        <w:t>130</w:t>
      </w:r>
      <w:r w:rsidR="001D0AE1" w:rsidRPr="00D97E05">
        <w:rPr>
          <w:rFonts w:cs="Arial"/>
          <w:color w:val="4BACC6" w:themeColor="accent5"/>
          <w:sz w:val="24"/>
          <w:szCs w:val="24"/>
        </w:rPr>
        <w:t xml:space="preserve"> de </w:t>
      </w:r>
      <w:r w:rsidR="001D0AE1" w:rsidRPr="003C2F37">
        <w:rPr>
          <w:rFonts w:cs="Arial"/>
          <w:color w:val="4BACC6" w:themeColor="accent5"/>
          <w:sz w:val="24"/>
          <w:szCs w:val="24"/>
        </w:rPr>
        <w:t>autos</w:t>
      </w:r>
      <w:r w:rsidRPr="003C2F37">
        <w:rPr>
          <w:rFonts w:cs="Arial"/>
          <w:color w:val="4BACC6" w:themeColor="accent5"/>
          <w:sz w:val="24"/>
          <w:szCs w:val="24"/>
        </w:rPr>
        <w:t xml:space="preserve">, se encuentra la información que fuera </w:t>
      </w:r>
      <w:r w:rsidR="00A60333">
        <w:rPr>
          <w:rFonts w:cs="Arial"/>
          <w:color w:val="4BACC6" w:themeColor="accent5"/>
          <w:sz w:val="24"/>
          <w:szCs w:val="24"/>
        </w:rPr>
        <w:t>requerida por este órgano colegiado en auto de veintiséis de enero del año en curso</w:t>
      </w:r>
      <w:r w:rsidRPr="003C2F37">
        <w:rPr>
          <w:rFonts w:cs="Arial"/>
          <w:color w:val="4BACC6" w:themeColor="accent5"/>
          <w:sz w:val="24"/>
          <w:szCs w:val="24"/>
        </w:rPr>
        <w:t xml:space="preserve">, mismos que por economía procesal, se tienen por </w:t>
      </w:r>
      <w:r w:rsidRPr="00976F0C">
        <w:rPr>
          <w:rFonts w:cs="Arial"/>
          <w:color w:val="4BACC6" w:themeColor="accent5"/>
          <w:sz w:val="24"/>
          <w:szCs w:val="24"/>
        </w:rPr>
        <w:t>reproducidos como si a la letra se insertasen.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844F2B" w:rsidRPr="00FA0290" w:rsidRDefault="000B7F7D" w:rsidP="003C2F37">
      <w:pPr>
        <w:pStyle w:val="corte4fondo"/>
        <w:tabs>
          <w:tab w:val="left" w:pos="567"/>
        </w:tabs>
        <w:rPr>
          <w:rFonts w:cs="Arial"/>
          <w:i/>
          <w:color w:val="4BACC6" w:themeColor="accent5"/>
          <w:sz w:val="20"/>
        </w:rPr>
      </w:pPr>
      <w:r w:rsidRPr="00D7336A">
        <w:rPr>
          <w:rFonts w:cs="Arial"/>
          <w:color w:val="4BACC6" w:themeColor="accent5"/>
          <w:sz w:val="24"/>
          <w:szCs w:val="24"/>
        </w:rPr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97C9E">
        <w:rPr>
          <w:rFonts w:cs="Arial"/>
          <w:color w:val="4BACC6" w:themeColor="accent5"/>
          <w:sz w:val="24"/>
          <w:szCs w:val="24"/>
        </w:rPr>
        <w:t>, toda vez que remite el padrón de afiliados y sus estatutos.</w:t>
      </w:r>
    </w:p>
    <w:p w:rsidR="00B23C59" w:rsidRPr="00D7336A" w:rsidRDefault="00B23C59" w:rsidP="00B23C59">
      <w:pPr>
        <w:pStyle w:val="corte4fondo"/>
        <w:tabs>
          <w:tab w:val="left" w:pos="567"/>
        </w:tabs>
        <w:ind w:firstLine="0"/>
        <w:rPr>
          <w:rFonts w:cs="Arial"/>
          <w:color w:val="4BACC6" w:themeColor="accent5"/>
          <w:sz w:val="24"/>
          <w:szCs w:val="24"/>
        </w:rPr>
      </w:pPr>
    </w:p>
    <w:p w:rsidR="008024C9" w:rsidRPr="00D7336A" w:rsidRDefault="00D97C9E" w:rsidP="001C3373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>
        <w:rPr>
          <w:rFonts w:ascii="Arial" w:hAnsi="Arial" w:cs="Arial"/>
          <w:color w:val="4BACC6" w:themeColor="accent5"/>
          <w:sz w:val="24"/>
          <w:szCs w:val="24"/>
        </w:rPr>
        <w:t>Por otra parte</w:t>
      </w:r>
      <w:r w:rsidR="008024C9" w:rsidRPr="00D7336A">
        <w:rPr>
          <w:rFonts w:ascii="Arial" w:hAnsi="Arial" w:cs="Arial"/>
          <w:color w:val="4BACC6" w:themeColor="accent5"/>
          <w:sz w:val="24"/>
          <w:szCs w:val="24"/>
        </w:rPr>
        <w:t xml:space="preserve">, esta Comisión por </w:t>
      </w:r>
      <w:r w:rsidR="004C415C" w:rsidRPr="00D7336A">
        <w:rPr>
          <w:rFonts w:ascii="Arial" w:hAnsi="Arial" w:cs="Arial"/>
          <w:color w:val="4BACC6" w:themeColor="accent5"/>
          <w:sz w:val="24"/>
          <w:szCs w:val="24"/>
        </w:rPr>
        <w:t>medio de prov</w:t>
      </w:r>
      <w:r w:rsidR="00184E79" w:rsidRPr="00D7336A">
        <w:rPr>
          <w:rFonts w:ascii="Arial" w:hAnsi="Arial" w:cs="Arial"/>
          <w:color w:val="4BACC6" w:themeColor="accent5"/>
          <w:sz w:val="24"/>
          <w:szCs w:val="24"/>
        </w:rPr>
        <w:t xml:space="preserve">eído de </w:t>
      </w:r>
      <w:r>
        <w:rPr>
          <w:rFonts w:ascii="Arial" w:hAnsi="Arial" w:cs="Arial"/>
          <w:color w:val="4BACC6" w:themeColor="accent5"/>
          <w:sz w:val="24"/>
          <w:szCs w:val="24"/>
        </w:rPr>
        <w:t>diez de abril de</w:t>
      </w:r>
      <w:r w:rsidR="009C034C">
        <w:rPr>
          <w:rFonts w:ascii="Arial" w:hAnsi="Arial" w:cs="Arial"/>
          <w:color w:val="4BACC6" w:themeColor="accent5"/>
          <w:sz w:val="24"/>
          <w:szCs w:val="24"/>
        </w:rPr>
        <w:t xml:space="preserve"> dos mil dieci</w:t>
      </w:r>
      <w:r w:rsidR="00B23C59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8024C9" w:rsidRPr="00D7336A">
        <w:rPr>
          <w:rFonts w:ascii="Arial" w:hAnsi="Arial" w:cs="Arial"/>
          <w:color w:val="4BACC6" w:themeColor="accent5"/>
          <w:sz w:val="24"/>
          <w:szCs w:val="24"/>
        </w:rPr>
        <w:t>, dio vista a la parte recurrente con las constancias remitidas por el sujeto obligado, para el efecto de que realizara las manifestaciones que a sus intereses conviniera, sin que hubiera realizado manifestación alguna al respecto, aun cuando fue notificado por el medio que designó</w:t>
      </w:r>
      <w:r w:rsidR="00B0797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8024C9" w:rsidRPr="00D7336A">
        <w:rPr>
          <w:rFonts w:ascii="Arial" w:hAnsi="Arial"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>
        <w:rPr>
          <w:rFonts w:ascii="Arial" w:hAnsi="Arial" w:cs="Arial"/>
          <w:color w:val="4BACC6" w:themeColor="accent5"/>
          <w:sz w:val="24"/>
          <w:szCs w:val="24"/>
        </w:rPr>
        <w:t xml:space="preserve"> visibles a fojas </w:t>
      </w:r>
      <w:r>
        <w:rPr>
          <w:rFonts w:ascii="Arial" w:hAnsi="Arial" w:cs="Arial"/>
          <w:color w:val="4BACC6" w:themeColor="accent5"/>
          <w:sz w:val="24"/>
          <w:szCs w:val="24"/>
        </w:rPr>
        <w:t>132</w:t>
      </w:r>
      <w:r w:rsidR="00AB0C8A">
        <w:rPr>
          <w:rFonts w:ascii="Arial" w:hAnsi="Arial" w:cs="Arial"/>
          <w:color w:val="4BACC6" w:themeColor="accent5"/>
          <w:sz w:val="24"/>
          <w:szCs w:val="24"/>
        </w:rPr>
        <w:t xml:space="preserve"> a </w:t>
      </w:r>
      <w:r>
        <w:rPr>
          <w:rFonts w:ascii="Arial" w:hAnsi="Arial" w:cs="Arial"/>
          <w:color w:val="4BACC6" w:themeColor="accent5"/>
          <w:sz w:val="24"/>
          <w:szCs w:val="24"/>
        </w:rPr>
        <w:t>134</w:t>
      </w:r>
      <w:r w:rsidR="008024C9" w:rsidRPr="00D7336A">
        <w:rPr>
          <w:rFonts w:ascii="Arial" w:hAnsi="Arial"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</w:t>
      </w:r>
      <w:r w:rsidR="003C2F37">
        <w:rPr>
          <w:rFonts w:ascii="Arial" w:hAnsi="Arial" w:cs="Arial"/>
          <w:color w:val="4BACC6" w:themeColor="accent5"/>
          <w:sz w:val="24"/>
          <w:szCs w:val="24"/>
        </w:rPr>
        <w:t xml:space="preserve">cabal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D97C9E">
        <w:rPr>
          <w:rFonts w:ascii="Arial" w:hAnsi="Arial" w:cs="Arial"/>
          <w:b/>
          <w:color w:val="4BACC6" w:themeColor="accent5"/>
          <w:sz w:val="24"/>
          <w:szCs w:val="24"/>
        </w:rPr>
        <w:t>775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/2017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3C2F37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D97C9E">
        <w:rPr>
          <w:rFonts w:ascii="Arial" w:hAnsi="Arial" w:cs="Arial"/>
          <w:b/>
          <w:color w:val="4BACC6" w:themeColor="accent5"/>
          <w:sz w:val="24"/>
          <w:szCs w:val="24"/>
        </w:rPr>
        <w:t>PLATAFORMA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392D8F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Por último, archívese en su oportunidad este expediente como asunto totalmente concluido.</w:t>
      </w:r>
    </w:p>
    <w:p w:rsidR="00392D8F" w:rsidRDefault="00392D8F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</w:p>
    <w:p w:rsidR="004F5CDC" w:rsidRPr="00D7336A" w:rsidRDefault="004C415C" w:rsidP="00490BC0">
      <w:pPr>
        <w:tabs>
          <w:tab w:val="left" w:pos="3795"/>
        </w:tabs>
        <w:spacing w:after="0" w:line="24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Así lo proveyó y firma el Comisionado Presidente de la Comisión Estatal de Garantía de Acceso a la Información Pública Alejandro Lafuente Torres, que actúa con Rosa María Motilla García, Secretaria de Pleno que da fe.</w:t>
      </w:r>
    </w:p>
    <w:p w:rsidR="005A774A" w:rsidRDefault="005A774A" w:rsidP="00791265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A45785" w:rsidRDefault="00A45785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1D0AE1" w:rsidRPr="005A774A" w:rsidRDefault="001D0AE1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A45785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Comisionado Presidente             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844F2B" w:rsidRDefault="00844F2B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477AF" w:rsidRPr="009C2C42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  <w:r w:rsidRPr="009C2C42">
        <w:rPr>
          <w:rFonts w:ascii="Arial" w:hAnsi="Arial" w:cs="Arial"/>
          <w:color w:val="4BACC6" w:themeColor="accent5"/>
          <w:sz w:val="14"/>
          <w:szCs w:val="14"/>
        </w:rPr>
        <w:t>O.R.E.J.</w:t>
      </w:r>
    </w:p>
    <w:p w:rsidR="00844F2B" w:rsidRDefault="00844F2B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D97C9E" w:rsidRDefault="00D97C9E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D97C9E" w:rsidRDefault="00D97C9E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D97C9E" w:rsidRDefault="00D97C9E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2477AF" w:rsidRDefault="002477AF" w:rsidP="00D97C9E">
      <w:pPr>
        <w:spacing w:after="0" w:line="240" w:lineRule="auto"/>
        <w:ind w:left="708"/>
        <w:jc w:val="both"/>
        <w:rPr>
          <w:rFonts w:ascii="Arial" w:hAnsi="Arial" w:cs="Arial"/>
          <w:color w:val="4BACC6" w:themeColor="accent5"/>
          <w:sz w:val="16"/>
          <w:szCs w:val="16"/>
        </w:rPr>
      </w:pPr>
      <w:r w:rsidRPr="00CC65CD">
        <w:rPr>
          <w:rFonts w:ascii="Arial" w:hAnsi="Arial" w:cs="Arial"/>
          <w:color w:val="4BACC6" w:themeColor="accent5"/>
          <w:sz w:val="16"/>
          <w:szCs w:val="16"/>
        </w:rPr>
        <w:t>(Est</w:t>
      </w:r>
      <w:r w:rsidR="009C2C42">
        <w:rPr>
          <w:rFonts w:ascii="Arial" w:hAnsi="Arial" w:cs="Arial"/>
          <w:color w:val="4BACC6" w:themeColor="accent5"/>
          <w:sz w:val="16"/>
          <w:szCs w:val="16"/>
        </w:rPr>
        <w:t>a foja pertenece al</w:t>
      </w:r>
      <w:r w:rsidR="003C2F37">
        <w:rPr>
          <w:rFonts w:ascii="Arial" w:hAnsi="Arial" w:cs="Arial"/>
          <w:color w:val="4BACC6" w:themeColor="accent5"/>
          <w:sz w:val="16"/>
          <w:szCs w:val="16"/>
        </w:rPr>
        <w:t xml:space="preserve"> </w:t>
      </w:r>
      <w:r w:rsidR="009C2C42">
        <w:rPr>
          <w:rFonts w:ascii="Arial" w:hAnsi="Arial" w:cs="Arial"/>
          <w:color w:val="4BACC6" w:themeColor="accent5"/>
          <w:sz w:val="16"/>
          <w:szCs w:val="16"/>
        </w:rPr>
        <w:t xml:space="preserve">auto de </w:t>
      </w:r>
      <w:r w:rsidR="00D97C9E">
        <w:rPr>
          <w:rFonts w:ascii="Arial" w:hAnsi="Arial" w:cs="Arial"/>
          <w:color w:val="4BACC6" w:themeColor="accent5"/>
          <w:sz w:val="16"/>
          <w:szCs w:val="16"/>
        </w:rPr>
        <w:t>veintic</w:t>
      </w:r>
      <w:r w:rsidR="00840179">
        <w:rPr>
          <w:rFonts w:ascii="Arial" w:hAnsi="Arial" w:cs="Arial"/>
          <w:color w:val="4BACC6" w:themeColor="accent5"/>
          <w:sz w:val="16"/>
          <w:szCs w:val="16"/>
        </w:rPr>
        <w:t>inco</w:t>
      </w:r>
      <w:bookmarkStart w:id="0" w:name="_GoBack"/>
      <w:bookmarkEnd w:id="0"/>
      <w:r w:rsidR="00D97C9E">
        <w:rPr>
          <w:rFonts w:ascii="Arial" w:hAnsi="Arial" w:cs="Arial"/>
          <w:color w:val="4BACC6" w:themeColor="accent5"/>
          <w:sz w:val="16"/>
          <w:szCs w:val="16"/>
        </w:rPr>
        <w:t xml:space="preserve"> de mayo</w:t>
      </w:r>
      <w:r w:rsidRPr="00CC65CD">
        <w:rPr>
          <w:rFonts w:ascii="Arial" w:hAnsi="Arial" w:cs="Arial"/>
          <w:color w:val="4BACC6" w:themeColor="accent5"/>
          <w:sz w:val="16"/>
          <w:szCs w:val="16"/>
        </w:rPr>
        <w:t xml:space="preserve"> de dos mil dieciocho, dictado dentro del Recurso de Revisión </w:t>
      </w:r>
      <w:r w:rsidR="00D97C9E">
        <w:rPr>
          <w:rFonts w:ascii="Arial" w:hAnsi="Arial" w:cs="Arial"/>
          <w:color w:val="4BACC6" w:themeColor="accent5"/>
          <w:sz w:val="16"/>
          <w:szCs w:val="16"/>
        </w:rPr>
        <w:t>775</w:t>
      </w:r>
      <w:r w:rsidRPr="00CC65CD">
        <w:rPr>
          <w:rFonts w:ascii="Arial" w:hAnsi="Arial" w:cs="Arial"/>
          <w:color w:val="4BACC6" w:themeColor="accent5"/>
          <w:sz w:val="16"/>
          <w:szCs w:val="16"/>
        </w:rPr>
        <w:t xml:space="preserve">/2017-1 </w:t>
      </w:r>
      <w:r w:rsidR="00D97C9E">
        <w:rPr>
          <w:rFonts w:ascii="Arial" w:hAnsi="Arial" w:cs="Arial"/>
          <w:color w:val="4BACC6" w:themeColor="accent5"/>
          <w:sz w:val="16"/>
          <w:szCs w:val="16"/>
        </w:rPr>
        <w:t>PLATAFORMA</w:t>
      </w:r>
      <w:r w:rsidR="009C2C42">
        <w:rPr>
          <w:rFonts w:ascii="Arial" w:hAnsi="Arial" w:cs="Arial"/>
          <w:color w:val="4BACC6" w:themeColor="accent5"/>
          <w:sz w:val="16"/>
          <w:szCs w:val="16"/>
        </w:rPr>
        <w:t>,</w:t>
      </w:r>
      <w:r w:rsidR="009C2C42" w:rsidRPr="009C2C42">
        <w:rPr>
          <w:rFonts w:ascii="Arial" w:hAnsi="Arial" w:cs="Arial"/>
          <w:color w:val="4BACC6" w:themeColor="accent5"/>
          <w:sz w:val="16"/>
          <w:szCs w:val="16"/>
        </w:rPr>
        <w:t xml:space="preserve"> </w:t>
      </w:r>
      <w:r w:rsidR="009C2C42">
        <w:rPr>
          <w:rFonts w:ascii="Arial" w:hAnsi="Arial" w:cs="Arial"/>
          <w:color w:val="4BACC6" w:themeColor="accent5"/>
          <w:sz w:val="16"/>
          <w:szCs w:val="16"/>
        </w:rPr>
        <w:t>y termina con las rubricas arriba señaladas</w:t>
      </w:r>
      <w:r w:rsidRPr="00CC65CD">
        <w:rPr>
          <w:rFonts w:ascii="Arial" w:hAnsi="Arial" w:cs="Arial"/>
          <w:color w:val="4BACC6" w:themeColor="accent5"/>
          <w:sz w:val="16"/>
          <w:szCs w:val="16"/>
        </w:rPr>
        <w:t>).</w:t>
      </w:r>
    </w:p>
    <w:sectPr w:rsidR="002477AF" w:rsidSect="00FF56CF">
      <w:headerReference w:type="default" r:id="rId8"/>
      <w:footerReference w:type="default" r:id="rId9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520C" w:rsidRDefault="0030520C" w:rsidP="00A04BCB">
      <w:pPr>
        <w:spacing w:after="0" w:line="240" w:lineRule="auto"/>
      </w:pPr>
      <w:r>
        <w:separator/>
      </w:r>
    </w:p>
  </w:endnote>
  <w:endnote w:type="continuationSeparator" w:id="0">
    <w:p w:rsidR="0030520C" w:rsidRDefault="0030520C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265" w:rsidRDefault="00791265">
    <w:pPr>
      <w:pStyle w:val="Piedepgina"/>
    </w:pPr>
  </w:p>
  <w:p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520C" w:rsidRDefault="0030520C" w:rsidP="00A04BCB">
      <w:pPr>
        <w:spacing w:after="0" w:line="240" w:lineRule="auto"/>
      </w:pPr>
      <w:r>
        <w:separator/>
      </w:r>
    </w:p>
  </w:footnote>
  <w:footnote w:type="continuationSeparator" w:id="0">
    <w:p w:rsidR="0030520C" w:rsidRDefault="0030520C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2D4B83">
      <w:rPr>
        <w:rFonts w:ascii="Arial" w:hAnsi="Arial" w:cs="Arial"/>
        <w:b/>
      </w:rPr>
      <w:t>7</w:t>
    </w:r>
    <w:r w:rsidR="00E83510">
      <w:rPr>
        <w:rFonts w:ascii="Arial" w:hAnsi="Arial" w:cs="Arial"/>
        <w:b/>
      </w:rPr>
      <w:t>7</w:t>
    </w:r>
    <w:r w:rsidR="002D4B83">
      <w:rPr>
        <w:rFonts w:ascii="Arial" w:hAnsi="Arial" w:cs="Arial"/>
        <w:b/>
      </w:rPr>
      <w:t>5</w:t>
    </w:r>
    <w:r w:rsidR="002414D8">
      <w:rPr>
        <w:rFonts w:ascii="Arial" w:hAnsi="Arial" w:cs="Arial"/>
        <w:b/>
      </w:rPr>
      <w:t>/2017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</w:t>
    </w:r>
    <w:r w:rsidR="002D4B83">
      <w:rPr>
        <w:rFonts w:ascii="Arial" w:hAnsi="Arial" w:cs="Arial"/>
        <w:b/>
      </w:rPr>
      <w:t>PLATAFORMA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1242F"/>
    <w:multiLevelType w:val="hybridMultilevel"/>
    <w:tmpl w:val="A4365034"/>
    <w:lvl w:ilvl="0" w:tplc="3642D4BE">
      <w:start w:val="3"/>
      <w:numFmt w:val="upperRoman"/>
      <w:lvlText w:val="%1."/>
      <w:lvlJc w:val="left"/>
      <w:pPr>
        <w:ind w:left="690"/>
      </w:pPr>
      <w:rPr>
        <w:rFonts w:ascii="Arial" w:eastAsia="Arial" w:hAnsi="Arial" w:cs="Arial"/>
        <w:b/>
        <w:bCs/>
        <w:i w:val="0"/>
        <w:strike w:val="0"/>
        <w:dstrike w:val="0"/>
        <w:color w:val="4BACC6" w:themeColor="accent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608FF74">
      <w:start w:val="1"/>
      <w:numFmt w:val="lowerLetter"/>
      <w:lvlText w:val="%2"/>
      <w:lvlJc w:val="left"/>
      <w:pPr>
        <w:ind w:left="1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958492E">
      <w:start w:val="1"/>
      <w:numFmt w:val="lowerRoman"/>
      <w:lvlText w:val="%3"/>
      <w:lvlJc w:val="left"/>
      <w:pPr>
        <w:ind w:left="2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2600876">
      <w:start w:val="1"/>
      <w:numFmt w:val="decimal"/>
      <w:lvlText w:val="%4"/>
      <w:lvlJc w:val="left"/>
      <w:pPr>
        <w:ind w:left="32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6A4C684">
      <w:start w:val="1"/>
      <w:numFmt w:val="lowerLetter"/>
      <w:lvlText w:val="%5"/>
      <w:lvlJc w:val="left"/>
      <w:pPr>
        <w:ind w:left="39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BDCC440">
      <w:start w:val="1"/>
      <w:numFmt w:val="lowerRoman"/>
      <w:lvlText w:val="%6"/>
      <w:lvlJc w:val="left"/>
      <w:pPr>
        <w:ind w:left="46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2C806C6">
      <w:start w:val="1"/>
      <w:numFmt w:val="decimal"/>
      <w:lvlText w:val="%7"/>
      <w:lvlJc w:val="left"/>
      <w:pPr>
        <w:ind w:left="5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C8AD954">
      <w:start w:val="1"/>
      <w:numFmt w:val="lowerLetter"/>
      <w:lvlText w:val="%8"/>
      <w:lvlJc w:val="left"/>
      <w:pPr>
        <w:ind w:left="6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3804826">
      <w:start w:val="1"/>
      <w:numFmt w:val="lowerRoman"/>
      <w:lvlText w:val="%9"/>
      <w:lvlJc w:val="left"/>
      <w:pPr>
        <w:ind w:left="6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0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B3A31B6"/>
    <w:multiLevelType w:val="hybridMultilevel"/>
    <w:tmpl w:val="CE6EC8C2"/>
    <w:lvl w:ilvl="0" w:tplc="78A4B4E6">
      <w:start w:val="1"/>
      <w:numFmt w:val="upperRoman"/>
      <w:lvlText w:val="%1."/>
      <w:lvlJc w:val="left"/>
      <w:pPr>
        <w:ind w:left="340"/>
      </w:pPr>
      <w:rPr>
        <w:rFonts w:ascii="Arial" w:eastAsia="Arial" w:hAnsi="Arial" w:cs="Arial"/>
        <w:b/>
        <w:bCs/>
        <w:i w:val="0"/>
        <w:strike w:val="0"/>
        <w:dstrike w:val="0"/>
        <w:color w:val="4BACC6" w:themeColor="accent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57E19C8">
      <w:start w:val="1"/>
      <w:numFmt w:val="lowerLetter"/>
      <w:lvlText w:val="%2"/>
      <w:lvlJc w:val="left"/>
      <w:pPr>
        <w:ind w:left="14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9AB206">
      <w:start w:val="1"/>
      <w:numFmt w:val="lowerRoman"/>
      <w:lvlText w:val="%3"/>
      <w:lvlJc w:val="left"/>
      <w:pPr>
        <w:ind w:left="21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C08AABE">
      <w:start w:val="1"/>
      <w:numFmt w:val="decimal"/>
      <w:lvlText w:val="%4"/>
      <w:lvlJc w:val="left"/>
      <w:pPr>
        <w:ind w:left="28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F0A5E32">
      <w:start w:val="1"/>
      <w:numFmt w:val="lowerLetter"/>
      <w:lvlText w:val="%5"/>
      <w:lvlJc w:val="left"/>
      <w:pPr>
        <w:ind w:left="35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2EE464C">
      <w:start w:val="1"/>
      <w:numFmt w:val="lowerRoman"/>
      <w:lvlText w:val="%6"/>
      <w:lvlJc w:val="left"/>
      <w:pPr>
        <w:ind w:left="42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0AB854">
      <w:start w:val="1"/>
      <w:numFmt w:val="decimal"/>
      <w:lvlText w:val="%7"/>
      <w:lvlJc w:val="left"/>
      <w:pPr>
        <w:ind w:left="50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BC67392">
      <w:start w:val="1"/>
      <w:numFmt w:val="lowerLetter"/>
      <w:lvlText w:val="%8"/>
      <w:lvlJc w:val="left"/>
      <w:pPr>
        <w:ind w:left="57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D80B44">
      <w:start w:val="1"/>
      <w:numFmt w:val="lowerRoman"/>
      <w:lvlText w:val="%9"/>
      <w:lvlJc w:val="left"/>
      <w:pPr>
        <w:ind w:left="64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59420A7B"/>
    <w:multiLevelType w:val="hybridMultilevel"/>
    <w:tmpl w:val="9A16C996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06E1E4E"/>
    <w:multiLevelType w:val="hybridMultilevel"/>
    <w:tmpl w:val="BBE4AB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8"/>
  </w:num>
  <w:num w:numId="5">
    <w:abstractNumId w:val="13"/>
  </w:num>
  <w:num w:numId="6">
    <w:abstractNumId w:val="10"/>
  </w:num>
  <w:num w:numId="7">
    <w:abstractNumId w:val="3"/>
  </w:num>
  <w:num w:numId="8">
    <w:abstractNumId w:val="15"/>
  </w:num>
  <w:num w:numId="9">
    <w:abstractNumId w:val="6"/>
  </w:num>
  <w:num w:numId="10">
    <w:abstractNumId w:val="2"/>
  </w:num>
  <w:num w:numId="11">
    <w:abstractNumId w:val="9"/>
  </w:num>
  <w:num w:numId="12">
    <w:abstractNumId w:val="14"/>
  </w:num>
  <w:num w:numId="13">
    <w:abstractNumId w:val="11"/>
  </w:num>
  <w:num w:numId="14">
    <w:abstractNumId w:val="8"/>
  </w:num>
  <w:num w:numId="15">
    <w:abstractNumId w:val="1"/>
  </w:num>
  <w:num w:numId="16">
    <w:abstractNumId w:val="17"/>
  </w:num>
  <w:num w:numId="17">
    <w:abstractNumId w:val="12"/>
  </w:num>
  <w:num w:numId="18">
    <w:abstractNumId w:val="0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3028A"/>
    <w:rsid w:val="00054206"/>
    <w:rsid w:val="000718D6"/>
    <w:rsid w:val="00080247"/>
    <w:rsid w:val="00090FF9"/>
    <w:rsid w:val="000A4472"/>
    <w:rsid w:val="000A4C73"/>
    <w:rsid w:val="000A4F5D"/>
    <w:rsid w:val="000B62C2"/>
    <w:rsid w:val="000B7F7D"/>
    <w:rsid w:val="000C40C1"/>
    <w:rsid w:val="000D6BBE"/>
    <w:rsid w:val="000D71A1"/>
    <w:rsid w:val="000F05B6"/>
    <w:rsid w:val="000F3254"/>
    <w:rsid w:val="000F3F6E"/>
    <w:rsid w:val="00107646"/>
    <w:rsid w:val="00107F8A"/>
    <w:rsid w:val="00131EBD"/>
    <w:rsid w:val="00157759"/>
    <w:rsid w:val="00162EC6"/>
    <w:rsid w:val="00184E79"/>
    <w:rsid w:val="00196123"/>
    <w:rsid w:val="001A14C5"/>
    <w:rsid w:val="001A3205"/>
    <w:rsid w:val="001B2AEF"/>
    <w:rsid w:val="001C0739"/>
    <w:rsid w:val="001C3373"/>
    <w:rsid w:val="001C5951"/>
    <w:rsid w:val="001C77AA"/>
    <w:rsid w:val="001D0198"/>
    <w:rsid w:val="001D03CA"/>
    <w:rsid w:val="001D0AE1"/>
    <w:rsid w:val="001D0CD3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477AF"/>
    <w:rsid w:val="002526F3"/>
    <w:rsid w:val="00260481"/>
    <w:rsid w:val="00264CBC"/>
    <w:rsid w:val="00266ADC"/>
    <w:rsid w:val="002778EA"/>
    <w:rsid w:val="00286EF5"/>
    <w:rsid w:val="002A288D"/>
    <w:rsid w:val="002A6A30"/>
    <w:rsid w:val="002B40C2"/>
    <w:rsid w:val="002C38D0"/>
    <w:rsid w:val="002C5252"/>
    <w:rsid w:val="002D0070"/>
    <w:rsid w:val="002D371A"/>
    <w:rsid w:val="002D4B83"/>
    <w:rsid w:val="002E4736"/>
    <w:rsid w:val="002F176F"/>
    <w:rsid w:val="002F30EF"/>
    <w:rsid w:val="002F733F"/>
    <w:rsid w:val="003032F5"/>
    <w:rsid w:val="0030520C"/>
    <w:rsid w:val="00322003"/>
    <w:rsid w:val="00331B9E"/>
    <w:rsid w:val="003332F1"/>
    <w:rsid w:val="00352A7B"/>
    <w:rsid w:val="00360ABE"/>
    <w:rsid w:val="0037061E"/>
    <w:rsid w:val="00372881"/>
    <w:rsid w:val="0038176B"/>
    <w:rsid w:val="00381A32"/>
    <w:rsid w:val="00383735"/>
    <w:rsid w:val="0038592D"/>
    <w:rsid w:val="00392D8F"/>
    <w:rsid w:val="003A0A70"/>
    <w:rsid w:val="003C2F37"/>
    <w:rsid w:val="003C636D"/>
    <w:rsid w:val="003E3238"/>
    <w:rsid w:val="003E5023"/>
    <w:rsid w:val="00402BE9"/>
    <w:rsid w:val="00404705"/>
    <w:rsid w:val="0041021C"/>
    <w:rsid w:val="00417720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9C4"/>
    <w:rsid w:val="00485806"/>
    <w:rsid w:val="00490BC0"/>
    <w:rsid w:val="00491923"/>
    <w:rsid w:val="004935E2"/>
    <w:rsid w:val="0049533B"/>
    <w:rsid w:val="004C415C"/>
    <w:rsid w:val="004D0F1C"/>
    <w:rsid w:val="004D511E"/>
    <w:rsid w:val="004E386C"/>
    <w:rsid w:val="004F08DC"/>
    <w:rsid w:val="004F5CDC"/>
    <w:rsid w:val="00500854"/>
    <w:rsid w:val="00515C6F"/>
    <w:rsid w:val="00535AA8"/>
    <w:rsid w:val="005379FC"/>
    <w:rsid w:val="0054206B"/>
    <w:rsid w:val="00552902"/>
    <w:rsid w:val="0055402B"/>
    <w:rsid w:val="00555BEA"/>
    <w:rsid w:val="00557692"/>
    <w:rsid w:val="00570D95"/>
    <w:rsid w:val="00580B07"/>
    <w:rsid w:val="005A2395"/>
    <w:rsid w:val="005A774A"/>
    <w:rsid w:val="005D2986"/>
    <w:rsid w:val="005D32BF"/>
    <w:rsid w:val="005D7E54"/>
    <w:rsid w:val="005E15B2"/>
    <w:rsid w:val="005E7069"/>
    <w:rsid w:val="00605A63"/>
    <w:rsid w:val="00605A77"/>
    <w:rsid w:val="00606D6E"/>
    <w:rsid w:val="00615017"/>
    <w:rsid w:val="00616C0D"/>
    <w:rsid w:val="00624699"/>
    <w:rsid w:val="00624ED9"/>
    <w:rsid w:val="00625D1B"/>
    <w:rsid w:val="006569DD"/>
    <w:rsid w:val="00661411"/>
    <w:rsid w:val="006653FC"/>
    <w:rsid w:val="00672BEE"/>
    <w:rsid w:val="00690DE0"/>
    <w:rsid w:val="00695310"/>
    <w:rsid w:val="006A4610"/>
    <w:rsid w:val="006B6741"/>
    <w:rsid w:val="006C78BB"/>
    <w:rsid w:val="006D050F"/>
    <w:rsid w:val="006D3BF1"/>
    <w:rsid w:val="006D4FCA"/>
    <w:rsid w:val="006E2236"/>
    <w:rsid w:val="006E478E"/>
    <w:rsid w:val="006F222A"/>
    <w:rsid w:val="006F5A3A"/>
    <w:rsid w:val="00702152"/>
    <w:rsid w:val="007121D0"/>
    <w:rsid w:val="00721663"/>
    <w:rsid w:val="00727BEA"/>
    <w:rsid w:val="00744113"/>
    <w:rsid w:val="00750BF1"/>
    <w:rsid w:val="007558D7"/>
    <w:rsid w:val="00763E45"/>
    <w:rsid w:val="00771755"/>
    <w:rsid w:val="00772104"/>
    <w:rsid w:val="00774BC8"/>
    <w:rsid w:val="00780A83"/>
    <w:rsid w:val="00791265"/>
    <w:rsid w:val="007A68AD"/>
    <w:rsid w:val="007A777C"/>
    <w:rsid w:val="007B1813"/>
    <w:rsid w:val="007B30A9"/>
    <w:rsid w:val="007B520C"/>
    <w:rsid w:val="007C2127"/>
    <w:rsid w:val="007C70EC"/>
    <w:rsid w:val="007D3BB0"/>
    <w:rsid w:val="007E7A46"/>
    <w:rsid w:val="0080183C"/>
    <w:rsid w:val="008024C9"/>
    <w:rsid w:val="00803BF0"/>
    <w:rsid w:val="00810456"/>
    <w:rsid w:val="0082057A"/>
    <w:rsid w:val="008334F5"/>
    <w:rsid w:val="00840179"/>
    <w:rsid w:val="00844F2B"/>
    <w:rsid w:val="00845E58"/>
    <w:rsid w:val="00852028"/>
    <w:rsid w:val="0085470E"/>
    <w:rsid w:val="00874C83"/>
    <w:rsid w:val="0088125B"/>
    <w:rsid w:val="008839E5"/>
    <w:rsid w:val="00897B0C"/>
    <w:rsid w:val="008A6B41"/>
    <w:rsid w:val="008B15BA"/>
    <w:rsid w:val="008C22E2"/>
    <w:rsid w:val="008C6657"/>
    <w:rsid w:val="008D0A3C"/>
    <w:rsid w:val="008F388A"/>
    <w:rsid w:val="008F6149"/>
    <w:rsid w:val="009039C8"/>
    <w:rsid w:val="00906B75"/>
    <w:rsid w:val="009124C4"/>
    <w:rsid w:val="0092572B"/>
    <w:rsid w:val="00943FA9"/>
    <w:rsid w:val="0094536F"/>
    <w:rsid w:val="00977225"/>
    <w:rsid w:val="00977800"/>
    <w:rsid w:val="0098511D"/>
    <w:rsid w:val="00991E8F"/>
    <w:rsid w:val="009B23C6"/>
    <w:rsid w:val="009B7254"/>
    <w:rsid w:val="009C034C"/>
    <w:rsid w:val="009C2B81"/>
    <w:rsid w:val="009C2C42"/>
    <w:rsid w:val="009C4466"/>
    <w:rsid w:val="009D0019"/>
    <w:rsid w:val="009D2BB8"/>
    <w:rsid w:val="009D3602"/>
    <w:rsid w:val="009D7E22"/>
    <w:rsid w:val="009E456E"/>
    <w:rsid w:val="009F00AF"/>
    <w:rsid w:val="00A03CE0"/>
    <w:rsid w:val="00A04BCB"/>
    <w:rsid w:val="00A050F1"/>
    <w:rsid w:val="00A06A4A"/>
    <w:rsid w:val="00A24594"/>
    <w:rsid w:val="00A24906"/>
    <w:rsid w:val="00A45785"/>
    <w:rsid w:val="00A60333"/>
    <w:rsid w:val="00A61517"/>
    <w:rsid w:val="00A62F8D"/>
    <w:rsid w:val="00A630A6"/>
    <w:rsid w:val="00A7066C"/>
    <w:rsid w:val="00A75DA0"/>
    <w:rsid w:val="00A8436E"/>
    <w:rsid w:val="00A8474D"/>
    <w:rsid w:val="00A94565"/>
    <w:rsid w:val="00AA5027"/>
    <w:rsid w:val="00AB0C8A"/>
    <w:rsid w:val="00AC1F24"/>
    <w:rsid w:val="00AC335A"/>
    <w:rsid w:val="00AD691E"/>
    <w:rsid w:val="00AE702D"/>
    <w:rsid w:val="00B01F57"/>
    <w:rsid w:val="00B06769"/>
    <w:rsid w:val="00B0797C"/>
    <w:rsid w:val="00B10F22"/>
    <w:rsid w:val="00B11A7E"/>
    <w:rsid w:val="00B14364"/>
    <w:rsid w:val="00B23C59"/>
    <w:rsid w:val="00B4486D"/>
    <w:rsid w:val="00B4587C"/>
    <w:rsid w:val="00B54825"/>
    <w:rsid w:val="00B55F7C"/>
    <w:rsid w:val="00B63E0B"/>
    <w:rsid w:val="00B71D1E"/>
    <w:rsid w:val="00B7246B"/>
    <w:rsid w:val="00B73016"/>
    <w:rsid w:val="00B84B92"/>
    <w:rsid w:val="00B941DB"/>
    <w:rsid w:val="00B977AB"/>
    <w:rsid w:val="00B97928"/>
    <w:rsid w:val="00BA2344"/>
    <w:rsid w:val="00BA55C4"/>
    <w:rsid w:val="00BB031B"/>
    <w:rsid w:val="00BB1043"/>
    <w:rsid w:val="00BE69A9"/>
    <w:rsid w:val="00BE6AF8"/>
    <w:rsid w:val="00BF633B"/>
    <w:rsid w:val="00C0019F"/>
    <w:rsid w:val="00C0023E"/>
    <w:rsid w:val="00C003C0"/>
    <w:rsid w:val="00C1156A"/>
    <w:rsid w:val="00C16EC4"/>
    <w:rsid w:val="00C23535"/>
    <w:rsid w:val="00C257BC"/>
    <w:rsid w:val="00C37176"/>
    <w:rsid w:val="00C42933"/>
    <w:rsid w:val="00C66E3D"/>
    <w:rsid w:val="00C70A3F"/>
    <w:rsid w:val="00C73D19"/>
    <w:rsid w:val="00C7664A"/>
    <w:rsid w:val="00C8689D"/>
    <w:rsid w:val="00C96DC3"/>
    <w:rsid w:val="00CA0FEB"/>
    <w:rsid w:val="00CA29CD"/>
    <w:rsid w:val="00CA5BA0"/>
    <w:rsid w:val="00CC57CD"/>
    <w:rsid w:val="00CC65CD"/>
    <w:rsid w:val="00CD2AF9"/>
    <w:rsid w:val="00CE6391"/>
    <w:rsid w:val="00D05A2B"/>
    <w:rsid w:val="00D11CA5"/>
    <w:rsid w:val="00D13645"/>
    <w:rsid w:val="00D21862"/>
    <w:rsid w:val="00D46DBB"/>
    <w:rsid w:val="00D550D5"/>
    <w:rsid w:val="00D71D05"/>
    <w:rsid w:val="00D7336A"/>
    <w:rsid w:val="00D97C9E"/>
    <w:rsid w:val="00D97E05"/>
    <w:rsid w:val="00DA09AD"/>
    <w:rsid w:val="00DB05F1"/>
    <w:rsid w:val="00DB5F2A"/>
    <w:rsid w:val="00DB65D6"/>
    <w:rsid w:val="00DC105A"/>
    <w:rsid w:val="00DC55EF"/>
    <w:rsid w:val="00DD1315"/>
    <w:rsid w:val="00DE25E6"/>
    <w:rsid w:val="00DE5A5C"/>
    <w:rsid w:val="00DE6AB5"/>
    <w:rsid w:val="00DF5E66"/>
    <w:rsid w:val="00DF74E7"/>
    <w:rsid w:val="00E0126B"/>
    <w:rsid w:val="00E01C91"/>
    <w:rsid w:val="00E12808"/>
    <w:rsid w:val="00E135D9"/>
    <w:rsid w:val="00E15E88"/>
    <w:rsid w:val="00E32AE9"/>
    <w:rsid w:val="00E43715"/>
    <w:rsid w:val="00E4433C"/>
    <w:rsid w:val="00E44B4D"/>
    <w:rsid w:val="00E4590E"/>
    <w:rsid w:val="00E51C51"/>
    <w:rsid w:val="00E66DB6"/>
    <w:rsid w:val="00E828C8"/>
    <w:rsid w:val="00E83510"/>
    <w:rsid w:val="00E94C22"/>
    <w:rsid w:val="00E95910"/>
    <w:rsid w:val="00EA3D66"/>
    <w:rsid w:val="00EB06E0"/>
    <w:rsid w:val="00EC4BDD"/>
    <w:rsid w:val="00ED0CD6"/>
    <w:rsid w:val="00ED7190"/>
    <w:rsid w:val="00EE1009"/>
    <w:rsid w:val="00EE4D47"/>
    <w:rsid w:val="00EF4511"/>
    <w:rsid w:val="00F0766A"/>
    <w:rsid w:val="00F14988"/>
    <w:rsid w:val="00F2256E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A0290"/>
    <w:rsid w:val="00FA0C55"/>
    <w:rsid w:val="00FC2F02"/>
    <w:rsid w:val="00FC417C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6C143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"/>
    <w:basedOn w:val="Normal"/>
    <w:link w:val="PrrafodelistaCar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basedOn w:val="Fuentedeprrafopredeter"/>
    <w:link w:val="Prrafodelista"/>
    <w:uiPriority w:val="34"/>
    <w:qFormat/>
    <w:locked/>
    <w:rsid w:val="00883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FCC13-2DBA-4D5E-9440-E771A6C85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639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3</cp:revision>
  <cp:lastPrinted>2017-11-27T18:27:00Z</cp:lastPrinted>
  <dcterms:created xsi:type="dcterms:W3CDTF">2018-05-24T15:24:00Z</dcterms:created>
  <dcterms:modified xsi:type="dcterms:W3CDTF">2018-05-25T14:28:00Z</dcterms:modified>
</cp:coreProperties>
</file>